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54CA" w14:textId="77777777" w:rsidR="005B5361" w:rsidRPr="00E54D43" w:rsidRDefault="005B5361" w:rsidP="005B5361">
      <w:pPr>
        <w:spacing w:line="240" w:lineRule="auto"/>
        <w:ind w:firstLine="720"/>
        <w:jc w:val="center"/>
        <w:rPr>
          <w:b/>
        </w:rPr>
      </w:pPr>
    </w:p>
    <w:p w14:paraId="32DEA09A" w14:textId="77777777" w:rsidR="005B5361" w:rsidRDefault="005B5361" w:rsidP="005B536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5361"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</w:t>
      </w:r>
      <w:proofErr w:type="gramStart"/>
      <w:r w:rsidRPr="005B5361">
        <w:rPr>
          <w:rFonts w:ascii="Times New Roman" w:hAnsi="Times New Roman" w:cs="Times New Roman"/>
          <w:b/>
          <w:sz w:val="24"/>
          <w:szCs w:val="24"/>
        </w:rPr>
        <w:t>ТЕХН</w:t>
      </w:r>
      <w:proofErr w:type="gramEnd"/>
      <w:r w:rsidRPr="005B5361">
        <w:rPr>
          <w:rFonts w:ascii="Times New Roman" w:hAnsi="Times New Roman" w:cs="Times New Roman"/>
          <w:b/>
          <w:sz w:val="24"/>
          <w:szCs w:val="24"/>
        </w:rPr>
        <w:t>ІЧНІ, ЯКІСНІ ТА КІЛЬКІСНІ ХАРАКТЕРИСТИКИ ПРЕДМЕТА ЗАКУПІВЛІ</w:t>
      </w:r>
    </w:p>
    <w:p w14:paraId="74B9CCD7" w14:textId="3BBD9898" w:rsidR="005B5361" w:rsidRPr="005B5361" w:rsidRDefault="005B5361" w:rsidP="005B5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5361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B5361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торги, початок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r w:rsidRPr="005B5361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5B5361">
        <w:rPr>
          <w:rFonts w:ascii="Times New Roman" w:hAnsi="Times New Roman" w:cs="Times New Roman"/>
          <w:sz w:val="24"/>
          <w:szCs w:val="24"/>
        </w:rPr>
        <w:t>.</w:t>
      </w:r>
      <w:r w:rsidRPr="005B5361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5B5361">
        <w:rPr>
          <w:rFonts w:ascii="Times New Roman" w:hAnsi="Times New Roman" w:cs="Times New Roman"/>
          <w:sz w:val="24"/>
          <w:szCs w:val="24"/>
        </w:rPr>
        <w:t xml:space="preserve">.2023 року </w:t>
      </w:r>
    </w:p>
    <w:p w14:paraId="16F445A0" w14:textId="77777777" w:rsidR="005B5361" w:rsidRPr="005B5361" w:rsidRDefault="005B5361" w:rsidP="005B5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536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B5361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прозорого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постанови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16.12.2020 року №1266,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набрав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19.12.2020 року, про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до постанови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5B536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B536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11.10.2016 року №710 «Про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>»:</w:t>
      </w:r>
    </w:p>
    <w:p w14:paraId="2065F3CC" w14:textId="77777777" w:rsidR="005B5361" w:rsidRDefault="005B5361" w:rsidP="005B53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60A4F74" w14:textId="28ECD2F6" w:rsidR="005B5361" w:rsidRPr="005B5361" w:rsidRDefault="005B5361" w:rsidP="005B5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61">
        <w:rPr>
          <w:rFonts w:ascii="Times New Roman" w:hAnsi="Times New Roman" w:cs="Times New Roman"/>
          <w:bCs/>
          <w:sz w:val="24"/>
          <w:szCs w:val="24"/>
        </w:rPr>
        <w:t xml:space="preserve">Предмет </w:t>
      </w:r>
      <w:proofErr w:type="spellStart"/>
      <w:r w:rsidRPr="005B5361">
        <w:rPr>
          <w:rFonts w:ascii="Times New Roman" w:hAnsi="Times New Roman" w:cs="Times New Roman"/>
          <w:bCs/>
          <w:sz w:val="24"/>
          <w:szCs w:val="24"/>
        </w:rPr>
        <w:t>закупі</w:t>
      </w:r>
      <w:proofErr w:type="gramStart"/>
      <w:r w:rsidRPr="005B5361">
        <w:rPr>
          <w:rFonts w:ascii="Times New Roman" w:hAnsi="Times New Roman" w:cs="Times New Roman"/>
          <w:bCs/>
          <w:sz w:val="24"/>
          <w:szCs w:val="24"/>
        </w:rPr>
        <w:t>вл</w:t>
      </w:r>
      <w:proofErr w:type="gramEnd"/>
      <w:r w:rsidRPr="005B5361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: </w:t>
      </w:r>
      <w:r w:rsidRPr="005B5361">
        <w:rPr>
          <w:rFonts w:ascii="Times New Roman" w:hAnsi="Times New Roman" w:cs="Times New Roman"/>
          <w:sz w:val="24"/>
          <w:szCs w:val="24"/>
          <w:lang w:eastAsia="ar-SA"/>
        </w:rPr>
        <w:t xml:space="preserve">код </w:t>
      </w:r>
      <w:r w:rsidRPr="005B5361">
        <w:rPr>
          <w:rFonts w:ascii="Times New Roman" w:hAnsi="Times New Roman" w:cs="Times New Roman"/>
          <w:bCs/>
          <w:kern w:val="36"/>
          <w:sz w:val="24"/>
          <w:szCs w:val="24"/>
        </w:rPr>
        <w:t xml:space="preserve">ДК 021:2015: </w:t>
      </w:r>
      <w:r w:rsidRPr="005B5361">
        <w:rPr>
          <w:rFonts w:ascii="Times New Roman" w:hAnsi="Times New Roman" w:cs="Times New Roman"/>
          <w:sz w:val="24"/>
          <w:szCs w:val="24"/>
        </w:rPr>
        <w:t xml:space="preserve">50420000-5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з ремонту і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хірургічного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з поточного ремонту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; </w:t>
      </w:r>
      <w:r w:rsidRPr="005B5361">
        <w:rPr>
          <w:rFonts w:ascii="Times New Roman" w:hAnsi="Times New Roman" w:cs="Times New Roman"/>
          <w:bCs/>
          <w:kern w:val="36"/>
          <w:sz w:val="24"/>
          <w:szCs w:val="24"/>
        </w:rPr>
        <w:t>код ДК 021:2015:</w:t>
      </w:r>
      <w:r w:rsidRPr="005B5361">
        <w:rPr>
          <w:rFonts w:ascii="Times New Roman" w:hAnsi="Times New Roman" w:cs="Times New Roman"/>
          <w:sz w:val="24"/>
          <w:szCs w:val="24"/>
        </w:rPr>
        <w:t xml:space="preserve"> 50421000-2)</w:t>
      </w:r>
    </w:p>
    <w:p w14:paraId="34C11DEC" w14:textId="77777777" w:rsidR="005B5361" w:rsidRDefault="005B5361" w:rsidP="005B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496FC9F" w14:textId="556F9557" w:rsidR="005B5361" w:rsidRPr="005B5361" w:rsidRDefault="005B5361" w:rsidP="005B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color w:val="000000"/>
          <w:sz w:val="24"/>
          <w:szCs w:val="24"/>
        </w:rPr>
        <w:t>Розмі</w:t>
      </w:r>
      <w:proofErr w:type="gramStart"/>
      <w:r w:rsidRPr="005B536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5B5361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</w:t>
      </w:r>
      <w:proofErr w:type="spellStart"/>
      <w:r w:rsidRPr="005B5361">
        <w:rPr>
          <w:rFonts w:ascii="Times New Roman" w:hAnsi="Times New Roman" w:cs="Times New Roman"/>
          <w:color w:val="000000"/>
          <w:sz w:val="24"/>
          <w:szCs w:val="24"/>
        </w:rPr>
        <w:t>призначення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кошторисом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або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очікувана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вартість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предмета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закупівлі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47000</w:t>
      </w:r>
      <w:r w:rsidRPr="005B53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00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грн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(Сорок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сім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тисяч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гривень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. 00 коп.)</w:t>
      </w:r>
    </w:p>
    <w:p w14:paraId="1F93B71A" w14:textId="77777777" w:rsidR="005B5361" w:rsidRDefault="005B5361" w:rsidP="005B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791CA6EB" w14:textId="0CBBE6D8" w:rsidR="005B5361" w:rsidRPr="005B5361" w:rsidRDefault="005B5361" w:rsidP="005B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Опис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предмета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закупі</w:t>
      </w:r>
      <w:proofErr w:type="gram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вл</w:t>
      </w:r>
      <w:proofErr w:type="gram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і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його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частини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лоти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в тому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числі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їх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технічні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>якісні</w:t>
      </w:r>
      <w:proofErr w:type="spellEnd"/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5361">
        <w:rPr>
          <w:rFonts w:ascii="Times New Roman" w:hAnsi="Times New Roman" w:cs="Times New Roman"/>
          <w:bCs/>
          <w:sz w:val="24"/>
          <w:szCs w:val="24"/>
        </w:rPr>
        <w:t>характеристики</w:t>
      </w:r>
      <w:r w:rsidRPr="005B53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5B3C6D4C" w14:textId="77777777" w:rsidR="005B5361" w:rsidRPr="005B5361" w:rsidRDefault="005B5361" w:rsidP="005B53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надаватися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регламентів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вказаних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експлуатаційній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сервісній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>.</w:t>
      </w:r>
    </w:p>
    <w:p w14:paraId="3839D40D" w14:textId="77777777" w:rsidR="005B5361" w:rsidRPr="005B5361" w:rsidRDefault="005B5361" w:rsidP="005B5361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Якість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послуг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повинна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відповідати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техн</w:t>
      </w:r>
      <w:proofErr w:type="gram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ічній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документації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чинним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на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території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України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державним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стандартам та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вимогам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1D88CF97" w14:textId="77777777" w:rsidR="005B5361" w:rsidRPr="005B5361" w:rsidRDefault="005B5361" w:rsidP="005B5361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Запасні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частини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>,</w:t>
      </w:r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оригінальними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сумісними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53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5361">
        <w:rPr>
          <w:rFonts w:ascii="Times New Roman" w:hAnsi="Times New Roman" w:cs="Times New Roman"/>
          <w:sz w:val="24"/>
          <w:szCs w:val="24"/>
        </w:rPr>
        <w:t>ідлягає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поточному ремонту,</w:t>
      </w:r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повинні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відповідати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характеристикам,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технічній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, а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також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нормам і стандартам,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законодавчо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встановленим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на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території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України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та з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гарантійним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строком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після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їх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встановлення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249097AB" w14:textId="77777777" w:rsidR="005B5361" w:rsidRPr="005B5361" w:rsidRDefault="005B5361" w:rsidP="005B5361">
      <w:pPr>
        <w:spacing w:after="0" w:line="240" w:lineRule="auto"/>
        <w:ind w:firstLine="708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Вартість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запасних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частин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та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витратних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матеріалів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включається</w:t>
      </w:r>
      <w:proofErr w:type="spellEnd"/>
      <w:proofErr w:type="gram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до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вартості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послуг</w:t>
      </w:r>
      <w:proofErr w:type="spellEnd"/>
      <w:r w:rsidRPr="005B536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5A173D5B" w14:textId="77777777" w:rsidR="005B5361" w:rsidRPr="005B5361" w:rsidRDefault="005B5361" w:rsidP="005B5361">
      <w:pPr>
        <w:pStyle w:val="Style10"/>
        <w:widowControl/>
        <w:spacing w:line="240" w:lineRule="auto"/>
        <w:ind w:firstLine="720"/>
        <w:rPr>
          <w:rStyle w:val="FontStyle15"/>
          <w:i w:val="0"/>
          <w:lang w:val="uk-UA" w:eastAsia="uk-UA"/>
        </w:rPr>
      </w:pPr>
      <w:r w:rsidRPr="005B5361">
        <w:rPr>
          <w:rStyle w:val="FontStyle15"/>
          <w:lang w:val="uk-UA" w:eastAsia="uk-UA"/>
        </w:rPr>
        <w:t>Відповідність запропонованих Учасником послуг технічним,</w:t>
      </w:r>
      <w:r w:rsidRPr="005B5361">
        <w:rPr>
          <w:shd w:val="clear" w:color="auto" w:fill="FFFFFF"/>
          <w:lang w:val="uk-UA"/>
        </w:rPr>
        <w:t xml:space="preserve"> якісним та кількісним</w:t>
      </w:r>
      <w:r w:rsidRPr="005B5361">
        <w:rPr>
          <w:rStyle w:val="FontStyle15"/>
          <w:lang w:val="uk-UA" w:eastAsia="uk-UA"/>
        </w:rPr>
        <w:t xml:space="preserve"> характеристикам, встановленим у даному додатку до тендерної документації, повинна бути обов'язково підтверджена у формі заповненої таблиці, що наведена нижче.</w:t>
      </w:r>
    </w:p>
    <w:p w14:paraId="4899BBC7" w14:textId="77777777" w:rsidR="005B5361" w:rsidRPr="005B5361" w:rsidRDefault="005B5361" w:rsidP="005B5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5361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B5361">
        <w:rPr>
          <w:rFonts w:ascii="Times New Roman" w:hAnsi="Times New Roman" w:cs="Times New Roman"/>
          <w:sz w:val="24"/>
          <w:szCs w:val="24"/>
        </w:rPr>
        <w:t>ІЧНА СПЕЦИФІКАЦІЯ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4602"/>
        <w:gridCol w:w="1260"/>
        <w:gridCol w:w="1440"/>
        <w:gridCol w:w="1579"/>
      </w:tblGrid>
      <w:tr w:rsidR="005B5361" w:rsidRPr="005B5361" w14:paraId="0B92470B" w14:textId="77777777" w:rsidTr="005B5361">
        <w:trPr>
          <w:trHeight w:val="20"/>
        </w:trPr>
        <w:tc>
          <w:tcPr>
            <w:tcW w:w="5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9477" w14:textId="77777777" w:rsidR="005B5361" w:rsidRPr="005B5361" w:rsidRDefault="005B5361" w:rsidP="005B5361">
            <w:pPr>
              <w:tabs>
                <w:tab w:val="left" w:pos="648"/>
              </w:tabs>
              <w:spacing w:after="0" w:line="240" w:lineRule="auto"/>
              <w:ind w:right="-10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№ з/</w:t>
            </w:r>
            <w:proofErr w:type="gram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6488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обсяг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266A44E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запасних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частин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6B9F139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витратних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</w:t>
            </w:r>
            <w:proofErr w:type="gram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іалів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C39E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48CE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1F9E00D2" w14:textId="77777777" w:rsidR="005B5361" w:rsidRPr="005B5361" w:rsidRDefault="005B5361" w:rsidP="005B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Відповідність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(так/</w:t>
            </w:r>
            <w:proofErr w:type="spellStart"/>
            <w:proofErr w:type="gram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B5361" w:rsidRPr="005B5361" w14:paraId="7EFDC69B" w14:textId="77777777" w:rsidTr="005B5361">
        <w:trPr>
          <w:trHeight w:val="20"/>
        </w:trPr>
        <w:tc>
          <w:tcPr>
            <w:tcW w:w="5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20CE" w14:textId="77777777" w:rsidR="005B5361" w:rsidRPr="005B5361" w:rsidRDefault="005B5361" w:rsidP="005B5361">
            <w:pPr>
              <w:tabs>
                <w:tab w:val="left" w:pos="648"/>
              </w:tabs>
              <w:spacing w:after="0" w:line="240" w:lineRule="auto"/>
              <w:ind w:right="-10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2DF8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403C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2008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60718B67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B5361" w:rsidRPr="005B5361" w14:paraId="3084D877" w14:textId="77777777" w:rsidTr="005B5361">
        <w:trPr>
          <w:trHeight w:val="20"/>
        </w:trPr>
        <w:tc>
          <w:tcPr>
            <w:tcW w:w="501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207E" w14:textId="77777777" w:rsidR="005B5361" w:rsidRPr="005B5361" w:rsidRDefault="005B5361" w:rsidP="005B5361">
            <w:pPr>
              <w:spacing w:after="0" w:line="240" w:lineRule="auto"/>
              <w:ind w:right="-102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4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691A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поточного ремонту парового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стерилізатора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5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UNISTERI</w:t>
            </w: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336 </w:t>
            </w:r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інв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. № 104г71175 </w:t>
            </w:r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</w:p>
          <w:p w14:paraId="736CD06D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послуга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тому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числі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B5361" w:rsidRPr="005B5361" w14:paraId="56FDB0C1" w14:textId="77777777" w:rsidTr="005B5361">
        <w:trPr>
          <w:trHeight w:val="20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123D" w14:textId="77777777" w:rsidR="005B5361" w:rsidRPr="005B5361" w:rsidRDefault="005B5361" w:rsidP="005B5361">
            <w:pPr>
              <w:spacing w:after="0" w:line="240" w:lineRule="auto"/>
              <w:ind w:right="-102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932A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Розбирання-збирання</w:t>
            </w:r>
            <w:proofErr w:type="spell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корпусних</w:t>
            </w:r>
            <w:proofErr w:type="spell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елементі</w:t>
            </w:r>
            <w:proofErr w:type="gram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вузлів</w:t>
            </w:r>
            <w:proofErr w:type="spellEnd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8667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694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4F0391D0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61" w:rsidRPr="005B5361" w14:paraId="0D668BD8" w14:textId="77777777" w:rsidTr="005B5361">
        <w:trPr>
          <w:trHeight w:val="20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ADEF" w14:textId="77777777" w:rsidR="005B5361" w:rsidRPr="005B5361" w:rsidRDefault="005B5361" w:rsidP="005B5361">
            <w:pPr>
              <w:spacing w:after="0" w:line="240" w:lineRule="auto"/>
              <w:ind w:right="-102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9127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заміною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несправних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комплектуючих</w:t>
            </w:r>
            <w:proofErr w:type="spellEnd"/>
            <w:proofErr w:type="gram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2D84B26" w14:textId="77777777" w:rsidR="005B5361" w:rsidRPr="005B5361" w:rsidRDefault="005B5361" w:rsidP="005B5361">
            <w:pPr>
              <w:tabs>
                <w:tab w:val="left" w:pos="4920"/>
              </w:tabs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Виявлена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несправність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C7E3AB" w14:textId="77777777" w:rsidR="005B5361" w:rsidRPr="005B5361" w:rsidRDefault="005B5361" w:rsidP="005B5361">
            <w:pPr>
              <w:spacing w:after="0" w:line="240" w:lineRule="auto"/>
              <w:ind w:righ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втрата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властивостей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блоку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76026B" w14:textId="77777777" w:rsidR="005B5361" w:rsidRPr="005B5361" w:rsidRDefault="005B5361" w:rsidP="005B5361">
            <w:pPr>
              <w:tabs>
                <w:tab w:val="left" w:pos="4920"/>
              </w:tabs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електромагнітного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клапана, </w:t>
            </w:r>
          </w:p>
          <w:p w14:paraId="7B47A0E7" w14:textId="77777777" w:rsidR="005B5361" w:rsidRPr="005B5361" w:rsidRDefault="005B5361" w:rsidP="005B5361">
            <w:pPr>
              <w:tabs>
                <w:tab w:val="left" w:pos="4920"/>
              </w:tabs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зворотнього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 клапана, </w:t>
            </w:r>
          </w:p>
          <w:p w14:paraId="05F4BC8D" w14:textId="77777777" w:rsidR="005B5361" w:rsidRPr="005B5361" w:rsidRDefault="005B5361" w:rsidP="005B5361">
            <w:pPr>
              <w:tabs>
                <w:tab w:val="left" w:pos="4920"/>
              </w:tabs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конденсатвідвідника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F21FCD" w14:textId="77777777" w:rsidR="005B5361" w:rsidRPr="005B5361" w:rsidRDefault="005B5361" w:rsidP="005B5361">
            <w:pPr>
              <w:tabs>
                <w:tab w:val="left" w:pos="4920"/>
              </w:tabs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- датчика 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тиску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BAC641" w14:textId="77777777" w:rsidR="005B5361" w:rsidRPr="005B5361" w:rsidRDefault="005B5361" w:rsidP="005B536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блока </w:t>
            </w:r>
            <w:proofErr w:type="spellStart"/>
            <w:proofErr w:type="gram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ідсилювача</w:t>
            </w:r>
            <w:proofErr w:type="spell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потужності</w:t>
            </w:r>
            <w:proofErr w:type="spell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69BA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</w:t>
            </w:r>
            <w:proofErr w:type="spellEnd"/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F4AA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517EED68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61" w:rsidRPr="005B5361" w14:paraId="24EED66B" w14:textId="77777777" w:rsidTr="005B5361">
        <w:trPr>
          <w:trHeight w:val="20"/>
        </w:trPr>
        <w:tc>
          <w:tcPr>
            <w:tcW w:w="5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A7E0" w14:textId="77777777" w:rsidR="005B5361" w:rsidRPr="005B5361" w:rsidRDefault="005B5361" w:rsidP="005B5361">
            <w:pPr>
              <w:spacing w:after="0" w:line="240" w:lineRule="auto"/>
              <w:ind w:right="-102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FE04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proofErr w:type="gram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ірка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976D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FE60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5DC712E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61" w:rsidRPr="005B5361" w14:paraId="0C6DF40F" w14:textId="77777777" w:rsidTr="005B5361">
        <w:trPr>
          <w:trHeight w:val="20"/>
        </w:trPr>
        <w:tc>
          <w:tcPr>
            <w:tcW w:w="501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7F24" w14:textId="77777777" w:rsidR="005B5361" w:rsidRPr="005B5361" w:rsidRDefault="005B5361" w:rsidP="005B5361">
            <w:pPr>
              <w:spacing w:after="0" w:line="240" w:lineRule="auto"/>
              <w:ind w:right="-102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1" w:type="dxa"/>
            <w:gridSpan w:val="4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71BA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gram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поточного</w:t>
            </w:r>
            <w:proofErr w:type="gram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ремонту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аквадистилятора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електричного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ДЭ-25,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>інв</w:t>
            </w:r>
            <w:proofErr w:type="spellEnd"/>
            <w:r w:rsidRPr="005B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 10470494 </w:t>
            </w:r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</w:p>
          <w:p w14:paraId="5D4DCAE7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послуга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тому </w:t>
            </w:r>
            <w:proofErr w:type="spellStart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числі</w:t>
            </w:r>
            <w:proofErr w:type="spellEnd"/>
            <w:r w:rsidRPr="005B5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B5361" w:rsidRPr="005B5361" w14:paraId="1EBE2226" w14:textId="77777777" w:rsidTr="005B5361">
        <w:trPr>
          <w:trHeight w:val="20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ABC1" w14:textId="77777777" w:rsidR="005B5361" w:rsidRPr="005B5361" w:rsidRDefault="005B5361" w:rsidP="005B5361">
            <w:pPr>
              <w:spacing w:after="0" w:line="240" w:lineRule="auto"/>
              <w:ind w:right="-60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EFD2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Розбирання-збирання</w:t>
            </w:r>
            <w:proofErr w:type="spell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корпусних</w:t>
            </w:r>
            <w:proofErr w:type="spell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елементі</w:t>
            </w:r>
            <w:proofErr w:type="gram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B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вузлів</w:t>
            </w:r>
            <w:proofErr w:type="spellEnd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038F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6E99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130AC1EB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61" w:rsidRPr="005B5361" w14:paraId="02FCDEF0" w14:textId="77777777" w:rsidTr="005B5361">
        <w:trPr>
          <w:trHeight w:val="20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D41B" w14:textId="77777777" w:rsidR="005B5361" w:rsidRPr="005B5361" w:rsidRDefault="005B5361" w:rsidP="005B5361">
            <w:pPr>
              <w:spacing w:after="0" w:line="240" w:lineRule="auto"/>
              <w:ind w:right="-60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1AE1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заміною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несправних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елементі</w:t>
            </w:r>
            <w:proofErr w:type="gram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комплектуючих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F81E203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Виявоена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несправність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C85061" w14:textId="77777777" w:rsidR="005B5361" w:rsidRPr="005B5361" w:rsidRDefault="005B5361" w:rsidP="005B5361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нагріваючого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елементу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ТЕНів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ідних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5110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92A7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1BF0E138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61" w:rsidRPr="005B5361" w14:paraId="28FDF3DB" w14:textId="77777777" w:rsidTr="005B5361">
        <w:trPr>
          <w:trHeight w:val="20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5C81" w14:textId="77777777" w:rsidR="005B5361" w:rsidRPr="005B5361" w:rsidRDefault="005B5361" w:rsidP="005B5361">
            <w:pPr>
              <w:spacing w:after="0" w:line="240" w:lineRule="auto"/>
              <w:ind w:right="-60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86FF" w14:textId="77777777" w:rsidR="005B5361" w:rsidRPr="005B5361" w:rsidRDefault="005B5361" w:rsidP="005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proofErr w:type="gram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ірка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D613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9740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32D17839" w14:textId="77777777" w:rsidR="005B5361" w:rsidRPr="005B5361" w:rsidRDefault="005B5361" w:rsidP="005B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5B71F" w14:textId="77777777" w:rsidR="005B5361" w:rsidRPr="005B5361" w:rsidRDefault="005B5361" w:rsidP="005B5361">
      <w:pPr>
        <w:spacing w:after="0" w:line="240" w:lineRule="auto"/>
        <w:ind w:left="320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p w14:paraId="5ECFB492" w14:textId="77FF859C" w:rsidR="005B5361" w:rsidRPr="005B5361" w:rsidRDefault="005B5361" w:rsidP="005B5361">
      <w:pPr>
        <w:spacing w:after="0" w:line="240" w:lineRule="auto"/>
        <w:ind w:firstLine="709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5B5361">
        <w:rPr>
          <w:rFonts w:ascii="Times New Roman" w:eastAsia="Cambria" w:hAnsi="Times New Roman" w:cs="Times New Roman"/>
          <w:sz w:val="24"/>
          <w:szCs w:val="24"/>
        </w:rPr>
        <w:t>Місце</w:t>
      </w:r>
      <w:proofErr w:type="spellEnd"/>
      <w:r w:rsidRPr="005B536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B5361">
        <w:rPr>
          <w:rFonts w:ascii="Times New Roman" w:eastAsia="Cambria" w:hAnsi="Times New Roman" w:cs="Times New Roman"/>
          <w:sz w:val="24"/>
          <w:szCs w:val="24"/>
          <w:lang w:val="uk-UA"/>
        </w:rPr>
        <w:t>надання послуг</w:t>
      </w:r>
      <w:r w:rsidRPr="005B5361">
        <w:rPr>
          <w:rFonts w:ascii="Times New Roman" w:eastAsia="Cambria" w:hAnsi="Times New Roman" w:cs="Times New Roman"/>
          <w:sz w:val="24"/>
          <w:szCs w:val="24"/>
        </w:rPr>
        <w:t xml:space="preserve">: 61023, м. </w:t>
      </w:r>
      <w:proofErr w:type="spellStart"/>
      <w:r w:rsidRPr="005B5361">
        <w:rPr>
          <w:rFonts w:ascii="Times New Roman" w:eastAsia="Cambria" w:hAnsi="Times New Roman" w:cs="Times New Roman"/>
          <w:sz w:val="24"/>
          <w:szCs w:val="24"/>
        </w:rPr>
        <w:t>Харків</w:t>
      </w:r>
      <w:proofErr w:type="spellEnd"/>
      <w:r w:rsidRPr="005B5361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eastAsia="Cambria" w:hAnsi="Times New Roman" w:cs="Times New Roman"/>
          <w:sz w:val="24"/>
          <w:szCs w:val="24"/>
        </w:rPr>
        <w:t>вул</w:t>
      </w:r>
      <w:proofErr w:type="spellEnd"/>
      <w:r w:rsidRPr="005B5361">
        <w:rPr>
          <w:rFonts w:ascii="Times New Roman" w:eastAsia="Cambria" w:hAnsi="Times New Roman" w:cs="Times New Roman"/>
          <w:sz w:val="24"/>
          <w:szCs w:val="24"/>
        </w:rPr>
        <w:t>. О. Гончара, 5</w:t>
      </w:r>
    </w:p>
    <w:p w14:paraId="614F2240" w14:textId="36F1F2C3" w:rsidR="005B5361" w:rsidRPr="005B5361" w:rsidRDefault="005B5361" w:rsidP="005B5361">
      <w:pPr>
        <w:widowControl w:val="0"/>
        <w:spacing w:after="0" w:line="240" w:lineRule="auto"/>
        <w:ind w:right="68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  <w:proofErr w:type="spellStart"/>
      <w:r w:rsidRPr="005B5361">
        <w:rPr>
          <w:rFonts w:ascii="Times New Roman" w:eastAsia="Cambria" w:hAnsi="Times New Roman" w:cs="Times New Roman"/>
          <w:sz w:val="24"/>
          <w:szCs w:val="24"/>
        </w:rPr>
        <w:t>Термін</w:t>
      </w:r>
      <w:proofErr w:type="spellEnd"/>
      <w:r w:rsidRPr="005B5361">
        <w:rPr>
          <w:rFonts w:ascii="Times New Roman" w:eastAsia="Cambria" w:hAnsi="Times New Roman" w:cs="Times New Roman"/>
          <w:sz w:val="24"/>
          <w:szCs w:val="24"/>
          <w:lang w:val="uk-UA"/>
        </w:rPr>
        <w:t xml:space="preserve"> надання послуг</w:t>
      </w:r>
      <w:r w:rsidRPr="005B5361">
        <w:rPr>
          <w:rFonts w:ascii="Times New Roman" w:eastAsia="Cambria" w:hAnsi="Times New Roman" w:cs="Times New Roman"/>
          <w:sz w:val="24"/>
          <w:szCs w:val="24"/>
        </w:rPr>
        <w:t>:</w:t>
      </w:r>
      <w:r w:rsidRPr="005B5361">
        <w:rPr>
          <w:rFonts w:ascii="Times New Roman" w:eastAsia="Cambria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5B5361">
        <w:rPr>
          <w:rFonts w:ascii="Times New Roman" w:eastAsia="Cambria" w:hAnsi="Times New Roman" w:cs="Times New Roman"/>
          <w:sz w:val="24"/>
          <w:szCs w:val="24"/>
        </w:rPr>
        <w:t>п</w:t>
      </w:r>
      <w:proofErr w:type="gramEnd"/>
      <w:r w:rsidRPr="005B5361">
        <w:rPr>
          <w:rFonts w:ascii="Times New Roman" w:eastAsia="Cambria" w:hAnsi="Times New Roman" w:cs="Times New Roman"/>
          <w:sz w:val="24"/>
          <w:szCs w:val="24"/>
        </w:rPr>
        <w:t>ізніше</w:t>
      </w:r>
      <w:proofErr w:type="spellEnd"/>
      <w:r w:rsidRPr="005B5361">
        <w:rPr>
          <w:rFonts w:ascii="Times New Roman" w:eastAsia="Cambria" w:hAnsi="Times New Roman" w:cs="Times New Roman"/>
          <w:sz w:val="24"/>
          <w:szCs w:val="24"/>
        </w:rPr>
        <w:t xml:space="preserve"> 31 </w:t>
      </w:r>
      <w:proofErr w:type="spellStart"/>
      <w:r w:rsidRPr="005B5361">
        <w:rPr>
          <w:rFonts w:ascii="Times New Roman" w:eastAsia="Cambria" w:hAnsi="Times New Roman" w:cs="Times New Roman"/>
          <w:sz w:val="24"/>
          <w:szCs w:val="24"/>
        </w:rPr>
        <w:t>грудня</w:t>
      </w:r>
      <w:proofErr w:type="spellEnd"/>
      <w:r w:rsidRPr="005B5361">
        <w:rPr>
          <w:rFonts w:ascii="Times New Roman" w:eastAsia="Cambria" w:hAnsi="Times New Roman" w:cs="Times New Roman"/>
          <w:sz w:val="24"/>
          <w:szCs w:val="24"/>
        </w:rPr>
        <w:t xml:space="preserve"> 2023 року</w:t>
      </w:r>
    </w:p>
    <w:p w14:paraId="361A034E" w14:textId="79558893" w:rsidR="005B5361" w:rsidRPr="005B5361" w:rsidRDefault="005B5361" w:rsidP="005B536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proofErr w:type="spellStart"/>
      <w:r w:rsidRPr="005B5361">
        <w:rPr>
          <w:rFonts w:ascii="Times New Roman" w:eastAsia="Cambria" w:hAnsi="Times New Roman" w:cs="Times New Roman"/>
          <w:bCs/>
          <w:sz w:val="24"/>
          <w:szCs w:val="24"/>
        </w:rPr>
        <w:t>Обґрунтування</w:t>
      </w:r>
      <w:proofErr w:type="spellEnd"/>
      <w:r w:rsidRPr="005B5361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proofErr w:type="spellStart"/>
      <w:r w:rsidRPr="005B5361">
        <w:rPr>
          <w:rFonts w:ascii="Times New Roman" w:eastAsia="Cambria" w:hAnsi="Times New Roman" w:cs="Times New Roman"/>
          <w:bCs/>
          <w:sz w:val="24"/>
          <w:szCs w:val="24"/>
        </w:rPr>
        <w:t>очікуваної</w:t>
      </w:r>
      <w:proofErr w:type="spellEnd"/>
      <w:r w:rsidRPr="005B5361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proofErr w:type="spellStart"/>
      <w:r w:rsidRPr="005B5361">
        <w:rPr>
          <w:rFonts w:ascii="Times New Roman" w:eastAsia="Cambria" w:hAnsi="Times New Roman" w:cs="Times New Roman"/>
          <w:bCs/>
          <w:sz w:val="24"/>
          <w:szCs w:val="24"/>
        </w:rPr>
        <w:t>вартості</w:t>
      </w:r>
      <w:proofErr w:type="spellEnd"/>
      <w:r w:rsidRPr="005B5361">
        <w:rPr>
          <w:rFonts w:ascii="Times New Roman" w:eastAsia="Cambria" w:hAnsi="Times New Roman" w:cs="Times New Roman"/>
          <w:bCs/>
          <w:sz w:val="24"/>
          <w:szCs w:val="24"/>
        </w:rPr>
        <w:t xml:space="preserve"> предмета </w:t>
      </w:r>
      <w:proofErr w:type="spellStart"/>
      <w:r w:rsidRPr="005B5361">
        <w:rPr>
          <w:rFonts w:ascii="Times New Roman" w:eastAsia="Cambria" w:hAnsi="Times New Roman" w:cs="Times New Roman"/>
          <w:bCs/>
          <w:sz w:val="24"/>
          <w:szCs w:val="24"/>
        </w:rPr>
        <w:t>закупі</w:t>
      </w:r>
      <w:proofErr w:type="gramStart"/>
      <w:r w:rsidRPr="005B5361">
        <w:rPr>
          <w:rFonts w:ascii="Times New Roman" w:eastAsia="Cambria" w:hAnsi="Times New Roman" w:cs="Times New Roman"/>
          <w:bCs/>
          <w:sz w:val="24"/>
          <w:szCs w:val="24"/>
        </w:rPr>
        <w:t>вл</w:t>
      </w:r>
      <w:proofErr w:type="gramEnd"/>
      <w:r w:rsidRPr="005B5361">
        <w:rPr>
          <w:rFonts w:ascii="Times New Roman" w:eastAsia="Cambria" w:hAnsi="Times New Roman" w:cs="Times New Roman"/>
          <w:bCs/>
          <w:sz w:val="24"/>
          <w:szCs w:val="24"/>
        </w:rPr>
        <w:t>і</w:t>
      </w:r>
      <w:proofErr w:type="spellEnd"/>
      <w:r w:rsidRPr="005B5361">
        <w:rPr>
          <w:rFonts w:ascii="Times New Roman" w:eastAsia="Cambria" w:hAnsi="Times New Roman" w:cs="Times New Roman"/>
          <w:bCs/>
          <w:sz w:val="24"/>
          <w:szCs w:val="24"/>
        </w:rPr>
        <w:t>:</w:t>
      </w:r>
    </w:p>
    <w:p w14:paraId="1EFD9C15" w14:textId="5816B282" w:rsidR="005B5361" w:rsidRPr="005B5361" w:rsidRDefault="005B5361" w:rsidP="005B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36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B5361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визначенні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проводився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ціноутворення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на ринку, з метою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комплексної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Харківської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ради «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Іновації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пріоритетних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напрямках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5B5361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B5361">
        <w:rPr>
          <w:rFonts w:ascii="Times New Roman" w:hAnsi="Times New Roman" w:cs="Times New Roman"/>
          <w:sz w:val="24"/>
          <w:szCs w:val="24"/>
        </w:rPr>
        <w:t>аркова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на 2011-2025 роки», через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r w:rsidRPr="005B5361">
        <w:rPr>
          <w:rFonts w:ascii="Times New Roman" w:hAnsi="Times New Roman" w:cs="Times New Roman"/>
          <w:sz w:val="24"/>
          <w:szCs w:val="24"/>
          <w:lang w:val="uk-UA"/>
        </w:rPr>
        <w:t>надавачів послуг</w:t>
      </w:r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відкритому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доступі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запиті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361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5B5361">
        <w:rPr>
          <w:rFonts w:ascii="Times New Roman" w:hAnsi="Times New Roman" w:cs="Times New Roman"/>
          <w:sz w:val="24"/>
          <w:szCs w:val="24"/>
        </w:rPr>
        <w:t xml:space="preserve"> </w:t>
      </w:r>
      <w:r w:rsidRPr="005B5361">
        <w:rPr>
          <w:rFonts w:ascii="Times New Roman" w:hAnsi="Times New Roman" w:cs="Times New Roman"/>
          <w:sz w:val="24"/>
          <w:szCs w:val="24"/>
          <w:lang w:val="uk-UA"/>
        </w:rPr>
        <w:t>надавачів послуг</w:t>
      </w:r>
      <w:r w:rsidRPr="005B5361">
        <w:rPr>
          <w:rFonts w:ascii="Times New Roman" w:hAnsi="Times New Roman" w:cs="Times New Roman"/>
          <w:sz w:val="24"/>
          <w:szCs w:val="24"/>
        </w:rPr>
        <w:t>.</w:t>
      </w:r>
    </w:p>
    <w:p w14:paraId="7AFAF4A9" w14:textId="77777777" w:rsidR="005B5361" w:rsidRPr="005B5361" w:rsidRDefault="005B5361" w:rsidP="005B5361">
      <w:pPr>
        <w:widowControl w:val="0"/>
        <w:spacing w:after="0" w:line="240" w:lineRule="auto"/>
        <w:ind w:right="68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DC41394" w14:textId="6F8C2F59" w:rsidR="00352D7D" w:rsidRPr="005B5361" w:rsidRDefault="00352D7D" w:rsidP="005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2D7D" w:rsidRPr="005B5361" w:rsidSect="005B53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73D00"/>
    <w:multiLevelType w:val="hybridMultilevel"/>
    <w:tmpl w:val="5750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531A8"/>
    <w:multiLevelType w:val="multilevel"/>
    <w:tmpl w:val="77440514"/>
    <w:lvl w:ilvl="0">
      <w:start w:val="1"/>
      <w:numFmt w:val="decimal"/>
      <w:lvlText w:val="%1."/>
      <w:lvlJc w:val="left"/>
      <w:pPr>
        <w:ind w:left="331" w:hanging="266"/>
        <w:jc w:val="right"/>
      </w:pPr>
      <w:rPr>
        <w:rFonts w:hint="default"/>
        <w:spacing w:val="-1"/>
        <w:w w:val="8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3" w:hanging="449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-1"/>
        <w:w w:val="97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445" w:hanging="4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8" w:hanging="4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1" w:hanging="4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4" w:hanging="4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7" w:hanging="4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0" w:hanging="4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3" w:hanging="44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7D"/>
    <w:rsid w:val="00352D7D"/>
    <w:rsid w:val="003E208D"/>
    <w:rsid w:val="005B5361"/>
    <w:rsid w:val="00695244"/>
    <w:rsid w:val="0074453F"/>
    <w:rsid w:val="00AF4D35"/>
    <w:rsid w:val="00BB6AF8"/>
    <w:rsid w:val="00C81354"/>
    <w:rsid w:val="00E91557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E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557"/>
    <w:rPr>
      <w:color w:val="0000FF"/>
      <w:u w:val="single"/>
    </w:rPr>
  </w:style>
  <w:style w:type="paragraph" w:styleId="a4">
    <w:name w:val="List Paragraph"/>
    <w:aliases w:val="Chapter10,List Paragraph,Список уровня 2,название табл/рис,заголовок 1.1,Number Bullets,List Paragraph (numbered (a)),Абзац списка литеральный,11111,List Paragraph_Num123,Литература,Bullet Number,Bullet 1,Use Case List Paragraph,lp1,lp11"/>
    <w:basedOn w:val="a"/>
    <w:link w:val="a5"/>
    <w:uiPriority w:val="34"/>
    <w:qFormat/>
    <w:rsid w:val="003E208D"/>
    <w:pPr>
      <w:widowControl w:val="0"/>
      <w:autoSpaceDE w:val="0"/>
      <w:autoSpaceDN w:val="0"/>
      <w:spacing w:after="0" w:line="240" w:lineRule="auto"/>
      <w:ind w:left="777" w:hanging="410"/>
    </w:pPr>
    <w:rPr>
      <w:rFonts w:ascii="Cambria" w:eastAsia="Cambria" w:hAnsi="Cambria" w:cs="Cambria"/>
      <w:lang w:val="uk-UA" w:eastAsia="en-US"/>
    </w:rPr>
  </w:style>
  <w:style w:type="character" w:customStyle="1" w:styleId="a5">
    <w:name w:val="Абзац списка Знак"/>
    <w:aliases w:val="Chapter10 Знак,List Paragraph Знак,Список уровня 2 Знак,название табл/рис Знак,заголовок 1.1 Знак,Number Bullets Знак,List Paragraph (numbered (a)) Знак,Абзац списка литеральный Знак,11111 Знак,List Paragraph_Num123 Знак,Bullet 1 Знак"/>
    <w:link w:val="a4"/>
    <w:uiPriority w:val="34"/>
    <w:qFormat/>
    <w:locked/>
    <w:rsid w:val="003E208D"/>
    <w:rPr>
      <w:rFonts w:ascii="Cambria" w:eastAsia="Cambria" w:hAnsi="Cambria" w:cs="Cambria"/>
      <w:lang w:val="uk-UA" w:eastAsia="en-US"/>
    </w:rPr>
  </w:style>
  <w:style w:type="character" w:customStyle="1" w:styleId="FontStyle15">
    <w:name w:val="Font Style15"/>
    <w:rsid w:val="005B5361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Style10">
    <w:name w:val="Style10"/>
    <w:basedOn w:val="a"/>
    <w:rsid w:val="005B5361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557"/>
    <w:rPr>
      <w:color w:val="0000FF"/>
      <w:u w:val="single"/>
    </w:rPr>
  </w:style>
  <w:style w:type="paragraph" w:styleId="a4">
    <w:name w:val="List Paragraph"/>
    <w:aliases w:val="Chapter10,List Paragraph,Список уровня 2,название табл/рис,заголовок 1.1,Number Bullets,List Paragraph (numbered (a)),Абзац списка литеральный,11111,List Paragraph_Num123,Литература,Bullet Number,Bullet 1,Use Case List Paragraph,lp1,lp11"/>
    <w:basedOn w:val="a"/>
    <w:link w:val="a5"/>
    <w:uiPriority w:val="34"/>
    <w:qFormat/>
    <w:rsid w:val="003E208D"/>
    <w:pPr>
      <w:widowControl w:val="0"/>
      <w:autoSpaceDE w:val="0"/>
      <w:autoSpaceDN w:val="0"/>
      <w:spacing w:after="0" w:line="240" w:lineRule="auto"/>
      <w:ind w:left="777" w:hanging="410"/>
    </w:pPr>
    <w:rPr>
      <w:rFonts w:ascii="Cambria" w:eastAsia="Cambria" w:hAnsi="Cambria" w:cs="Cambria"/>
      <w:lang w:val="uk-UA" w:eastAsia="en-US"/>
    </w:rPr>
  </w:style>
  <w:style w:type="character" w:customStyle="1" w:styleId="a5">
    <w:name w:val="Абзац списка Знак"/>
    <w:aliases w:val="Chapter10 Знак,List Paragraph Знак,Список уровня 2 Знак,название табл/рис Знак,заголовок 1.1 Знак,Number Bullets Знак,List Paragraph (numbered (a)) Знак,Абзац списка литеральный Знак,11111 Знак,List Paragraph_Num123 Знак,Bullet 1 Знак"/>
    <w:link w:val="a4"/>
    <w:uiPriority w:val="34"/>
    <w:qFormat/>
    <w:locked/>
    <w:rsid w:val="003E208D"/>
    <w:rPr>
      <w:rFonts w:ascii="Cambria" w:eastAsia="Cambria" w:hAnsi="Cambria" w:cs="Cambria"/>
      <w:lang w:val="uk-UA" w:eastAsia="en-US"/>
    </w:rPr>
  </w:style>
  <w:style w:type="character" w:customStyle="1" w:styleId="FontStyle15">
    <w:name w:val="Font Style15"/>
    <w:rsid w:val="005B5361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Style10">
    <w:name w:val="Style10"/>
    <w:basedOn w:val="a"/>
    <w:rsid w:val="005B5361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LocalUser</cp:lastModifiedBy>
  <cp:revision>2</cp:revision>
  <dcterms:created xsi:type="dcterms:W3CDTF">2023-11-28T10:38:00Z</dcterms:created>
  <dcterms:modified xsi:type="dcterms:W3CDTF">2023-11-28T10:38:00Z</dcterms:modified>
</cp:coreProperties>
</file>